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南昌高新区推动大规模设备更新和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消费品以旧换新行动方案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的政策解读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CESI仿宋-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spacing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CESI仿宋-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spacing w:val="0"/>
          <w:sz w:val="32"/>
          <w:szCs w:val="32"/>
          <w:lang w:val="en-US" w:eastAsia="zh-CN"/>
        </w:rPr>
        <w:t>现就《南昌高新区推动大规模设备更新和消费品以旧换新行动方案》（以下简称《行动方案》）的政策进行解读。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CESI仿宋-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spacing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贯彻落实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党中央、国务院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推动大规模设备更新和消费品以旧换新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的重大决策部署和省委省政府、市委市政府工作要求，</w:t>
      </w:r>
      <w:r>
        <w:rPr>
          <w:rFonts w:hint="eastAsia" w:ascii="仿宋_GB2312" w:hAnsi="仿宋_GB2312" w:eastAsia="仿宋_GB2312" w:cs="CESI仿宋-GB2312"/>
          <w:spacing w:val="0"/>
          <w:sz w:val="32"/>
          <w:szCs w:val="32"/>
          <w:lang w:val="en-US" w:eastAsia="zh-CN"/>
        </w:rPr>
        <w:t>参照《江西省推动大规模设备更新和消费品以旧换新实施方案》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《南昌市推动大规模设备更新和消费品以旧换新行动方案》等文件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CESI仿宋-GB2312"/>
          <w:color w:val="auto"/>
          <w:spacing w:val="0"/>
          <w:sz w:val="32"/>
          <w:szCs w:val="32"/>
          <w:lang w:val="en-US" w:eastAsia="zh-CN"/>
        </w:rPr>
        <w:t>结合高新区实际工作情况，科经局牵头草拟《</w:t>
      </w:r>
      <w:r>
        <w:rPr>
          <w:rFonts w:hint="eastAsia" w:ascii="仿宋_GB2312" w:hAnsi="仿宋_GB2312" w:eastAsia="仿宋_GB2312" w:cs="CESI仿宋-GB2312"/>
          <w:spacing w:val="0"/>
          <w:sz w:val="32"/>
          <w:szCs w:val="32"/>
          <w:lang w:val="en-US" w:eastAsia="zh-CN"/>
        </w:rPr>
        <w:t>南昌高新区推动大规模设备更新和消费品以旧换新行动方案（审议稿）</w:t>
      </w:r>
      <w:r>
        <w:rPr>
          <w:rFonts w:hint="eastAsia" w:ascii="仿宋_GB2312" w:hAnsi="仿宋_GB2312" w:eastAsia="仿宋_GB2312" w:cs="CESI仿宋-GB2312"/>
          <w:color w:val="auto"/>
          <w:spacing w:val="0"/>
          <w:sz w:val="32"/>
          <w:szCs w:val="32"/>
          <w:lang w:val="en-US" w:eastAsia="zh-CN"/>
        </w:rPr>
        <w:t>》。经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书面征求各相关单位、律师事务所的意见，收到反馈意见12条，其中采纳10条，部分采纳2条。</w:t>
      </w:r>
      <w:r>
        <w:rPr>
          <w:rFonts w:hint="eastAsia" w:ascii="仿宋_GB2312" w:hAnsi="仿宋_GB2312" w:eastAsia="仿宋_GB2312" w:cs="CESI仿宋-GB2312"/>
          <w:color w:val="auto"/>
          <w:spacing w:val="0"/>
          <w:sz w:val="32"/>
          <w:szCs w:val="32"/>
          <w:lang w:val="en-US" w:eastAsia="zh-CN"/>
        </w:rPr>
        <w:t>部分采纳意见与相关单位作了沟通并达成一致意见。经反复修改完善，形成《行动方案（审议稿）》。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CESI仿宋-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《行动方案（审议稿）》主要包括设备更新、消费品以旧换新、回收循环利用、标准提升4大行动、22项重点任务。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一是实施设备更新行动。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围绕数字化改造、能效提升、技术改造、清洁生产等方向，推进重点行业设备、环保设备更新改造。结合城市更新、老旧小区改造，推进建筑和市政基础设施领域设备更新。分类推进交通、农业、教育、文旅、医疗等领域设备更新升级，共提出11项重点任务。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二是实施消费品以旧换新行动。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聚焦汽车、电动车、家电产品、家装消费品等，促进汽车以旧换新和新能源汽车消费，推动电动自行车淘汰更新，鼓励绿色智能家电消费，推进旧房改造和居家适老化改造，共提出4项重点任务。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三是实施回收循环利用行动。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落实全面节约战略，完善废旧物资回收网络体系，促进二手商品规范化流通交易，探索产品再制造和资源再利用，共提出3项重点任务。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四是实施标准提升行动。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严格落实能耗、排放、技术标准，推动产品质量安全标准水平提升，加大资源循环利用标准供给，加强先进适用标准衔接，共提出4项重点任务。</w:t>
      </w:r>
    </w:p>
    <w:p>
      <w:pPr>
        <w:ind w:firstLine="420" w:firstLineChars="200"/>
        <w:rPr>
          <w:rFonts w:hint="default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B6304A"/>
    <w:multiLevelType w:val="singleLevel"/>
    <w:tmpl w:val="6FB630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32D79"/>
    <w:rsid w:val="0F5B3799"/>
    <w:rsid w:val="31DF038F"/>
    <w:rsid w:val="3558565A"/>
    <w:rsid w:val="696C1FA3"/>
    <w:rsid w:val="7443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99"/>
    <w:pPr>
      <w:spacing w:before="25" w:after="25"/>
      <w:jc w:val="left"/>
    </w:pPr>
    <w:rPr>
      <w:spacing w:val="10"/>
      <w:kern w:val="0"/>
      <w:sz w:val="24"/>
    </w:rPr>
  </w:style>
  <w:style w:type="paragraph" w:styleId="3">
    <w:name w:val="Body Text"/>
    <w:basedOn w:val="1"/>
    <w:next w:val="4"/>
    <w:unhideWhenUsed/>
    <w:qFormat/>
    <w:uiPriority w:val="0"/>
    <w:pPr>
      <w:spacing w:after="120"/>
      <w:ind w:firstLine="200" w:firstLineChars="200"/>
    </w:pPr>
    <w:rPr>
      <w:szCs w:val="22"/>
    </w:rPr>
  </w:style>
  <w:style w:type="paragraph" w:customStyle="1" w:styleId="4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2024-06-05T02:00:00Z</dcterms:created>
  <dc:creator>李惠宇（经济发展局）</dc:creator>
  <cp:lastModifiedBy>李惠宇（经济发展局）</cp:lastModifiedBy>
  <dcterms:modified xsi:type="dcterms:W3CDTF">2024-09-26T04:08:38Z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